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86CCFD" w14:textId="75D04344" w:rsidR="00737F20" w:rsidRDefault="0028084F">
      <w:pPr>
        <w:spacing w:before="60"/>
        <w:ind w:left="1839" w:right="1779"/>
        <w:jc w:val="center"/>
        <w:rPr>
          <w:sz w:val="48"/>
        </w:rPr>
      </w:pPr>
      <w:r>
        <w:rPr>
          <w:sz w:val="48"/>
        </w:rPr>
        <w:t>POLLUTION CONTROL AND SEWAGE SPILL PREVENTION AND RESPONSE PLAN</w:t>
      </w:r>
    </w:p>
    <w:p w14:paraId="0E72DF14" w14:textId="77777777" w:rsidR="00737F20" w:rsidRDefault="00737F20">
      <w:pPr>
        <w:pStyle w:val="BodyText"/>
        <w:rPr>
          <w:sz w:val="20"/>
        </w:rPr>
      </w:pPr>
    </w:p>
    <w:p w14:paraId="2ACAC887" w14:textId="04FDFDF4" w:rsidR="00737F20" w:rsidRDefault="00000000">
      <w:pPr>
        <w:pStyle w:val="BodyText"/>
        <w:spacing w:before="5"/>
        <w:rPr>
          <w:sz w:val="23"/>
        </w:rPr>
      </w:pPr>
      <w:r>
        <w:rPr>
          <w:noProof/>
        </w:rPr>
        <w:pict w14:anchorId="34B42815">
          <v:rect id="Rectangle 4" o:spid="_x0000_s2050" style="position:absolute;margin-left:0;margin-top:5.9pt;width:231.95pt;height:158.9pt;z-index:-251658752;visibility:visible;mso-wrap-style:square;mso-width-percent:390;mso-wrap-distance-left:14.4pt;mso-wrap-distance-top:3.6pt;mso-wrap-distance-right:14.4pt;mso-wrap-distance-bottom:3.6pt;mso-position-horizontal:center;mso-position-horizontal-relative:text;mso-position-vertical:absolute;mso-position-vertical-relative:text;mso-width-percent:390;mso-width-relative:page;mso-height-relative:page;v-text-anchor:middle" o:allowoverlap="f" fillcolor="white [3212]" strokecolor="black [3213]" strokeweight=".5pt">
            <v:stroke dashstyle="dash"/>
            <v:textbox inset="14.4pt,14.4pt,14.4pt,14.4pt">
              <w:txbxContent>
                <w:p w14:paraId="22A8630D" w14:textId="7525B034" w:rsidR="004B351D" w:rsidRPr="00F761E4" w:rsidRDefault="004B351D">
                  <w:pPr>
                    <w:jc w:val="center"/>
                    <w:rPr>
                      <w:i/>
                      <w:iCs/>
                      <w:caps/>
                      <w:sz w:val="28"/>
                    </w:rPr>
                  </w:pPr>
                  <w:r w:rsidRPr="00F761E4">
                    <w:rPr>
                      <w:i/>
                      <w:iCs/>
                      <w:caps/>
                      <w:sz w:val="28"/>
                      <w:szCs w:val="28"/>
                    </w:rPr>
                    <w:t>Insert company logo</w:t>
                  </w:r>
                </w:p>
              </w:txbxContent>
            </v:textbox>
            <w10:wrap type="square"/>
          </v:rect>
        </w:pict>
      </w:r>
    </w:p>
    <w:p w14:paraId="49A71560" w14:textId="77777777" w:rsidR="00E829B0" w:rsidRDefault="00E829B0">
      <w:pPr>
        <w:pStyle w:val="BodyText"/>
        <w:spacing w:before="5"/>
        <w:rPr>
          <w:sz w:val="23"/>
        </w:rPr>
      </w:pPr>
    </w:p>
    <w:p w14:paraId="59719DF8" w14:textId="5C6760EB" w:rsidR="00E829B0" w:rsidRDefault="00E829B0">
      <w:pPr>
        <w:pStyle w:val="BodyText"/>
        <w:spacing w:before="5"/>
        <w:rPr>
          <w:sz w:val="23"/>
        </w:rPr>
      </w:pPr>
    </w:p>
    <w:p w14:paraId="12DA1C2A" w14:textId="3C7EE697" w:rsidR="00E829B0" w:rsidRDefault="00E829B0">
      <w:pPr>
        <w:pStyle w:val="BodyText"/>
        <w:spacing w:before="5"/>
        <w:rPr>
          <w:sz w:val="23"/>
        </w:rPr>
      </w:pPr>
      <w:bookmarkStart w:id="0" w:name="CCR1_Package_4_30-inch_FM_Section_2_Relo"/>
      <w:bookmarkEnd w:id="0"/>
    </w:p>
    <w:p w14:paraId="7B6737B0" w14:textId="77777777" w:rsidR="00E829B0" w:rsidRDefault="00E829B0">
      <w:pPr>
        <w:pStyle w:val="BodyText"/>
        <w:spacing w:before="5"/>
        <w:rPr>
          <w:sz w:val="23"/>
        </w:rPr>
      </w:pPr>
    </w:p>
    <w:p w14:paraId="71EBFE52" w14:textId="77777777" w:rsidR="00E829B0" w:rsidRDefault="00E829B0">
      <w:pPr>
        <w:pStyle w:val="BodyText"/>
        <w:spacing w:before="5"/>
        <w:rPr>
          <w:sz w:val="23"/>
        </w:rPr>
      </w:pPr>
    </w:p>
    <w:p w14:paraId="62AFB8F4" w14:textId="77777777" w:rsidR="00E829B0" w:rsidRDefault="00E829B0">
      <w:pPr>
        <w:pStyle w:val="BodyText"/>
        <w:spacing w:before="5"/>
        <w:rPr>
          <w:sz w:val="23"/>
        </w:rPr>
      </w:pPr>
    </w:p>
    <w:p w14:paraId="5272C546" w14:textId="77777777" w:rsidR="00E829B0" w:rsidRDefault="00E829B0">
      <w:pPr>
        <w:pStyle w:val="BodyText"/>
        <w:spacing w:before="5"/>
        <w:rPr>
          <w:sz w:val="23"/>
        </w:rPr>
      </w:pPr>
    </w:p>
    <w:p w14:paraId="5EC9B10D" w14:textId="77777777" w:rsidR="00E829B0" w:rsidRDefault="00E829B0">
      <w:pPr>
        <w:pStyle w:val="BodyText"/>
        <w:spacing w:before="5"/>
        <w:rPr>
          <w:sz w:val="23"/>
        </w:rPr>
      </w:pPr>
    </w:p>
    <w:p w14:paraId="08AD6EA1" w14:textId="77777777" w:rsidR="00E829B0" w:rsidRDefault="00E829B0">
      <w:pPr>
        <w:pStyle w:val="BodyText"/>
        <w:spacing w:before="5"/>
        <w:rPr>
          <w:sz w:val="23"/>
        </w:rPr>
      </w:pPr>
    </w:p>
    <w:p w14:paraId="5C1A90D5" w14:textId="77777777" w:rsidR="00E829B0" w:rsidRDefault="00E829B0">
      <w:pPr>
        <w:pStyle w:val="BodyText"/>
        <w:spacing w:before="5"/>
        <w:rPr>
          <w:sz w:val="23"/>
        </w:rPr>
      </w:pPr>
    </w:p>
    <w:p w14:paraId="407BA821" w14:textId="77777777" w:rsidR="00737F20" w:rsidRDefault="00737F20">
      <w:pPr>
        <w:pStyle w:val="BodyText"/>
        <w:spacing w:before="6"/>
        <w:rPr>
          <w:sz w:val="64"/>
        </w:rPr>
      </w:pPr>
    </w:p>
    <w:p w14:paraId="2140D72D" w14:textId="77777777" w:rsidR="006F308E" w:rsidRDefault="006F308E">
      <w:pPr>
        <w:ind w:left="4183" w:right="4123"/>
        <w:jc w:val="center"/>
        <w:rPr>
          <w:sz w:val="32"/>
        </w:rPr>
      </w:pPr>
    </w:p>
    <w:p w14:paraId="3B666121" w14:textId="77777777" w:rsidR="006F308E" w:rsidRDefault="006F308E">
      <w:pPr>
        <w:ind w:left="4183" w:right="4123"/>
        <w:jc w:val="center"/>
        <w:rPr>
          <w:sz w:val="32"/>
        </w:rPr>
      </w:pPr>
    </w:p>
    <w:p w14:paraId="5BA4E3CA" w14:textId="61BCC0E4" w:rsidR="004F33AB" w:rsidRDefault="0028084F">
      <w:pPr>
        <w:ind w:left="4183" w:right="4123"/>
        <w:jc w:val="center"/>
        <w:rPr>
          <w:sz w:val="32"/>
        </w:rPr>
      </w:pPr>
      <w:r>
        <w:rPr>
          <w:sz w:val="32"/>
        </w:rPr>
        <w:t xml:space="preserve">Carolina Crossroads </w:t>
      </w:r>
    </w:p>
    <w:p w14:paraId="62EDBF98" w14:textId="02A9CC9A" w:rsidR="00737F20" w:rsidRDefault="004F33AB">
      <w:pPr>
        <w:ind w:left="4183" w:right="4123"/>
        <w:jc w:val="center"/>
        <w:rPr>
          <w:sz w:val="32"/>
        </w:rPr>
      </w:pPr>
      <w:r>
        <w:rPr>
          <w:sz w:val="32"/>
        </w:rPr>
        <w:t>I-20 30” Force Main Crossing</w:t>
      </w:r>
    </w:p>
    <w:p w14:paraId="7C532E13" w14:textId="67AB9A68" w:rsidR="00737F20" w:rsidRPr="00350CA9" w:rsidRDefault="0028084F" w:rsidP="00350CA9">
      <w:pPr>
        <w:spacing w:before="2"/>
        <w:ind w:left="1837" w:right="1779"/>
        <w:jc w:val="center"/>
        <w:rPr>
          <w:rFonts w:ascii="Calibri"/>
          <w:i/>
        </w:rPr>
      </w:pPr>
      <w:r>
        <w:rPr>
          <w:rFonts w:ascii="Calibri"/>
          <w:i/>
        </w:rPr>
        <w:t xml:space="preserve">Updated: </w:t>
      </w:r>
      <w:r w:rsidR="00350CA9">
        <w:rPr>
          <w:rFonts w:ascii="Calibri"/>
          <w:i/>
        </w:rPr>
        <w:t>____________</w:t>
      </w:r>
    </w:p>
    <w:p w14:paraId="1E1B80A5" w14:textId="77777777" w:rsidR="00737F20" w:rsidRDefault="00737F20">
      <w:pPr>
        <w:pStyle w:val="BodyText"/>
        <w:rPr>
          <w:sz w:val="20"/>
        </w:rPr>
      </w:pPr>
    </w:p>
    <w:p w14:paraId="20230998" w14:textId="77777777" w:rsidR="00737F20" w:rsidRDefault="00737F20">
      <w:pPr>
        <w:pStyle w:val="BodyText"/>
        <w:rPr>
          <w:sz w:val="20"/>
        </w:rPr>
      </w:pPr>
    </w:p>
    <w:p w14:paraId="7B33C2EA" w14:textId="77777777" w:rsidR="00737F20" w:rsidRDefault="00737F20">
      <w:pPr>
        <w:pStyle w:val="BodyText"/>
        <w:rPr>
          <w:sz w:val="20"/>
        </w:rPr>
      </w:pPr>
    </w:p>
    <w:p w14:paraId="0BC97BC7" w14:textId="77777777" w:rsidR="00737F20" w:rsidRDefault="00737F20">
      <w:pPr>
        <w:pStyle w:val="BodyText"/>
        <w:rPr>
          <w:sz w:val="20"/>
        </w:rPr>
      </w:pPr>
    </w:p>
    <w:p w14:paraId="4B9E4301" w14:textId="058D72E8" w:rsidR="00737F20" w:rsidRDefault="00737F20">
      <w:pPr>
        <w:pStyle w:val="BodyText"/>
        <w:spacing w:before="5"/>
        <w:rPr>
          <w:sz w:val="22"/>
        </w:rPr>
      </w:pPr>
    </w:p>
    <w:p w14:paraId="117D62AB" w14:textId="77777777" w:rsidR="00737F20" w:rsidRDefault="00737F20">
      <w:pPr>
        <w:sectPr w:rsidR="00737F20">
          <w:type w:val="continuous"/>
          <w:pgSz w:w="12240" w:h="15840"/>
          <w:pgMar w:top="1380" w:right="160" w:bottom="0" w:left="100" w:header="720" w:footer="720" w:gutter="0"/>
          <w:cols w:space="720"/>
        </w:sectPr>
      </w:pPr>
    </w:p>
    <w:p w14:paraId="123F03C7" w14:textId="77777777" w:rsidR="00737F20" w:rsidRDefault="0028084F">
      <w:pPr>
        <w:spacing w:before="78"/>
        <w:ind w:left="1692"/>
        <w:rPr>
          <w:b/>
        </w:rPr>
      </w:pPr>
      <w:r>
        <w:rPr>
          <w:b/>
        </w:rPr>
        <w:lastRenderedPageBreak/>
        <w:t>POLLUTION CONTROL AND SEWAGE SPILL PREVENTION AND RESPONSE PLAN</w:t>
      </w:r>
    </w:p>
    <w:p w14:paraId="1680B1FA" w14:textId="77777777" w:rsidR="00737F20" w:rsidRDefault="00737F20">
      <w:pPr>
        <w:pStyle w:val="BodyText"/>
        <w:spacing w:before="1"/>
        <w:rPr>
          <w:b/>
          <w:sz w:val="22"/>
        </w:rPr>
      </w:pPr>
    </w:p>
    <w:p w14:paraId="62387EA3" w14:textId="77777777" w:rsidR="00737F20" w:rsidRDefault="0028084F">
      <w:pPr>
        <w:pStyle w:val="Heading3"/>
      </w:pPr>
      <w:r>
        <w:t>INTRODUCTION</w:t>
      </w:r>
    </w:p>
    <w:p w14:paraId="2C5F239C" w14:textId="77777777" w:rsidR="00737F20" w:rsidRDefault="00737F20">
      <w:pPr>
        <w:pStyle w:val="BodyText"/>
        <w:rPr>
          <w:b/>
        </w:rPr>
      </w:pPr>
    </w:p>
    <w:p w14:paraId="58E5DCD4" w14:textId="394E48F4" w:rsidR="00737F20" w:rsidRDefault="0028084F">
      <w:pPr>
        <w:pStyle w:val="BodyText"/>
        <w:ind w:left="1339" w:right="1443"/>
      </w:pPr>
      <w:r>
        <w:t>This Emergency Response Plan is designed to provide the plan of action in the event that a leak or spill occurs during the relocation of the 30” Force Main parallel to I-</w:t>
      </w:r>
      <w:r w:rsidR="004F33AB">
        <w:t>20</w:t>
      </w:r>
      <w:r>
        <w:t xml:space="preserve"> for the City of Columbia, SC. These procedures are designed to protect employees, the public and the environment from the potential harmful effects associated with sewage spills</w:t>
      </w:r>
      <w:r w:rsidR="00350CA9">
        <w:t>.</w:t>
      </w:r>
    </w:p>
    <w:p w14:paraId="0555A3F6" w14:textId="77777777" w:rsidR="00737F20" w:rsidRDefault="00737F20">
      <w:pPr>
        <w:pStyle w:val="BodyText"/>
        <w:spacing w:before="11"/>
        <w:rPr>
          <w:sz w:val="21"/>
        </w:rPr>
      </w:pPr>
    </w:p>
    <w:p w14:paraId="417FB9E8" w14:textId="77777777" w:rsidR="00737F20" w:rsidRDefault="0028084F">
      <w:pPr>
        <w:pStyle w:val="Heading3"/>
      </w:pPr>
      <w:r>
        <w:t>RESPONSIBILITY</w:t>
      </w:r>
    </w:p>
    <w:p w14:paraId="5C0BD332" w14:textId="77777777" w:rsidR="00737F20" w:rsidRDefault="00737F20">
      <w:pPr>
        <w:pStyle w:val="BodyText"/>
        <w:rPr>
          <w:b/>
        </w:rPr>
      </w:pPr>
    </w:p>
    <w:p w14:paraId="4CB1FDCE" w14:textId="0D0B5EF8" w:rsidR="00737F20" w:rsidRDefault="004F33AB">
      <w:pPr>
        <w:pStyle w:val="BodyText"/>
        <w:ind w:left="1339" w:right="1403"/>
      </w:pPr>
      <w:r>
        <w:t>______________________________</w:t>
      </w:r>
      <w:r w:rsidR="00350CA9">
        <w:t xml:space="preserve"> (the Contractor)</w:t>
      </w:r>
      <w:r>
        <w:t xml:space="preserve"> Project Manager &amp; Site Superintendent and construction personnel will be responsible for the full compliance of the requirements of this plan. Responsibilities include determining the cause of, and stopping a sewer spill, containing the spill and disposal of spilled sewage to a proper location</w:t>
      </w:r>
    </w:p>
    <w:p w14:paraId="63629D1A" w14:textId="77777777" w:rsidR="00737F20" w:rsidRDefault="00737F20">
      <w:pPr>
        <w:pStyle w:val="BodyText"/>
      </w:pPr>
    </w:p>
    <w:p w14:paraId="5931E368" w14:textId="77777777" w:rsidR="00737F20" w:rsidRDefault="0028084F">
      <w:pPr>
        <w:pStyle w:val="Heading3"/>
      </w:pPr>
      <w:r>
        <w:t>MONITORING</w:t>
      </w:r>
    </w:p>
    <w:p w14:paraId="69EDFB60" w14:textId="77777777" w:rsidR="00737F20" w:rsidRDefault="00737F20">
      <w:pPr>
        <w:pStyle w:val="BodyText"/>
        <w:rPr>
          <w:b/>
        </w:rPr>
      </w:pPr>
    </w:p>
    <w:p w14:paraId="69D16F9C" w14:textId="279ECA0E" w:rsidR="00737F20" w:rsidRDefault="0028084F">
      <w:pPr>
        <w:pStyle w:val="BodyText"/>
        <w:ind w:left="1339" w:right="1403"/>
      </w:pPr>
      <w:r>
        <w:t xml:space="preserve">The existing 30” force main will be monitored by </w:t>
      </w:r>
      <w:r w:rsidR="00350CA9">
        <w:t>the Contractor’s</w:t>
      </w:r>
      <w:r>
        <w:t xml:space="preserve"> personnel twice a day during work hours before construction begins and at the completion of the day. This physical monitoring will include the visual inspection of the entire length of the existing line between the tie in locations.</w:t>
      </w:r>
    </w:p>
    <w:p w14:paraId="22B3966E" w14:textId="77777777" w:rsidR="00737F20" w:rsidRDefault="00737F20">
      <w:pPr>
        <w:pStyle w:val="BodyText"/>
      </w:pPr>
    </w:p>
    <w:p w14:paraId="5E9EBCDF" w14:textId="77777777" w:rsidR="00737F20" w:rsidRDefault="0028084F">
      <w:pPr>
        <w:pStyle w:val="Heading3"/>
      </w:pPr>
      <w:r>
        <w:t>REPORT OF A SPILL OR LEAK ON THE EXISTING 30” FORCE MAIN</w:t>
      </w:r>
    </w:p>
    <w:p w14:paraId="0AC098B9" w14:textId="393B66E1" w:rsidR="00737F20" w:rsidRDefault="0028084F">
      <w:pPr>
        <w:pStyle w:val="BodyText"/>
        <w:spacing w:before="199"/>
        <w:ind w:left="1339" w:right="1443"/>
      </w:pPr>
      <w:r>
        <w:t>In the event that a spill or leak is found during the visual inspection of the existing 30” force main</w:t>
      </w:r>
      <w:r w:rsidR="00350CA9">
        <w:t xml:space="preserve"> the </w:t>
      </w:r>
      <w:r w:rsidR="00E829B0">
        <w:t>Contractor</w:t>
      </w:r>
      <w:r>
        <w:t xml:space="preserve"> will inform the project team personnel listed below. This includes </w:t>
      </w:r>
      <w:r w:rsidR="004F33AB">
        <w:t>the</w:t>
      </w:r>
      <w:r>
        <w:t xml:space="preserve"> City of Columbia and DHEC personnel. The alert will come from one of the following lead personnel with</w:t>
      </w:r>
      <w:r w:rsidR="00350CA9">
        <w:t xml:space="preserve"> the Contractor</w:t>
      </w:r>
      <w:r>
        <w:t>.</w:t>
      </w:r>
    </w:p>
    <w:p w14:paraId="19AF9F4A" w14:textId="326B9748" w:rsidR="00737F20" w:rsidRDefault="004F33AB">
      <w:pPr>
        <w:pStyle w:val="BodyText"/>
        <w:tabs>
          <w:tab w:val="left" w:pos="3499"/>
        </w:tabs>
        <w:spacing w:before="202"/>
        <w:ind w:left="1339"/>
      </w:pPr>
      <w:r>
        <w:t>___________________________</w:t>
      </w:r>
      <w:r>
        <w:tab/>
      </w:r>
      <w:r>
        <w:tab/>
      </w:r>
      <w:r>
        <w:tab/>
        <w:t>______________________________</w:t>
      </w:r>
    </w:p>
    <w:p w14:paraId="017EA890" w14:textId="77777777" w:rsidR="00737F20" w:rsidRDefault="0028084F">
      <w:pPr>
        <w:pStyle w:val="BodyText"/>
        <w:spacing w:before="199"/>
        <w:ind w:left="1339"/>
      </w:pPr>
      <w:r>
        <w:t>One of the above mentioned persons will alert the following agencies or personnel:</w:t>
      </w:r>
    </w:p>
    <w:p w14:paraId="73154525" w14:textId="77777777" w:rsidR="00737F20" w:rsidRDefault="00737F20">
      <w:pPr>
        <w:pStyle w:val="BodyText"/>
        <w:spacing w:before="3"/>
        <w:rPr>
          <w:sz w:val="18"/>
        </w:rPr>
      </w:pPr>
    </w:p>
    <w:tbl>
      <w:tblPr>
        <w:tblW w:w="0" w:type="auto"/>
        <w:tblInd w:w="2017" w:type="dxa"/>
        <w:tblLayout w:type="fixed"/>
        <w:tblCellMar>
          <w:left w:w="0" w:type="dxa"/>
          <w:right w:w="0" w:type="dxa"/>
        </w:tblCellMar>
        <w:tblLook w:val="01E0" w:firstRow="1" w:lastRow="1" w:firstColumn="1" w:lastColumn="1" w:noHBand="0" w:noVBand="0"/>
      </w:tblPr>
      <w:tblGrid>
        <w:gridCol w:w="4295"/>
        <w:gridCol w:w="1484"/>
      </w:tblGrid>
      <w:tr w:rsidR="00737F20" w14:paraId="24D1C9D7" w14:textId="77777777">
        <w:trPr>
          <w:trHeight w:val="371"/>
        </w:trPr>
        <w:tc>
          <w:tcPr>
            <w:tcW w:w="4295" w:type="dxa"/>
          </w:tcPr>
          <w:p w14:paraId="120A9C6C" w14:textId="77777777" w:rsidR="00737F20" w:rsidRDefault="0028084F">
            <w:pPr>
              <w:pStyle w:val="TableParagraph"/>
              <w:spacing w:before="0" w:line="266" w:lineRule="exact"/>
              <w:ind w:left="50"/>
              <w:jc w:val="left"/>
              <w:rPr>
                <w:rFonts w:ascii="Times New Roman"/>
                <w:sz w:val="24"/>
              </w:rPr>
            </w:pPr>
            <w:r>
              <w:rPr>
                <w:rFonts w:ascii="Times New Roman"/>
                <w:sz w:val="24"/>
              </w:rPr>
              <w:t>Herschel Taylor Lift Station Supervisor</w:t>
            </w:r>
          </w:p>
        </w:tc>
        <w:tc>
          <w:tcPr>
            <w:tcW w:w="1484" w:type="dxa"/>
          </w:tcPr>
          <w:p w14:paraId="3C1FA38A" w14:textId="77777777" w:rsidR="00737F20" w:rsidRDefault="0028084F">
            <w:pPr>
              <w:pStyle w:val="TableParagraph"/>
              <w:spacing w:before="0" w:line="266" w:lineRule="exact"/>
              <w:ind w:right="30"/>
              <w:rPr>
                <w:rFonts w:ascii="Times New Roman"/>
                <w:sz w:val="24"/>
              </w:rPr>
            </w:pPr>
            <w:r>
              <w:rPr>
                <w:rFonts w:ascii="Times New Roman"/>
                <w:sz w:val="24"/>
              </w:rPr>
              <w:t>803-626-2332</w:t>
            </w:r>
          </w:p>
        </w:tc>
      </w:tr>
      <w:tr w:rsidR="00737F20" w14:paraId="5CECEBDD" w14:textId="77777777">
        <w:trPr>
          <w:trHeight w:val="476"/>
        </w:trPr>
        <w:tc>
          <w:tcPr>
            <w:tcW w:w="4295" w:type="dxa"/>
          </w:tcPr>
          <w:p w14:paraId="1F38F561" w14:textId="77777777" w:rsidR="00737F20" w:rsidRDefault="0028084F">
            <w:pPr>
              <w:pStyle w:val="TableParagraph"/>
              <w:spacing w:before="95"/>
              <w:ind w:left="50"/>
              <w:jc w:val="left"/>
              <w:rPr>
                <w:rFonts w:ascii="Times New Roman"/>
                <w:sz w:val="24"/>
              </w:rPr>
            </w:pPr>
            <w:r>
              <w:rPr>
                <w:rFonts w:ascii="Times New Roman"/>
                <w:sz w:val="24"/>
              </w:rPr>
              <w:t>Stephen Sealey (WW Operations Manager)</w:t>
            </w:r>
          </w:p>
        </w:tc>
        <w:tc>
          <w:tcPr>
            <w:tcW w:w="1484" w:type="dxa"/>
          </w:tcPr>
          <w:p w14:paraId="672A4D86" w14:textId="77777777" w:rsidR="00737F20" w:rsidRDefault="0028084F">
            <w:pPr>
              <w:pStyle w:val="TableParagraph"/>
              <w:spacing w:before="95"/>
              <w:ind w:right="30"/>
              <w:rPr>
                <w:rFonts w:ascii="Times New Roman"/>
                <w:sz w:val="24"/>
              </w:rPr>
            </w:pPr>
            <w:r>
              <w:rPr>
                <w:rFonts w:ascii="Times New Roman"/>
                <w:sz w:val="24"/>
              </w:rPr>
              <w:t>803-465-7331</w:t>
            </w:r>
          </w:p>
        </w:tc>
      </w:tr>
      <w:tr w:rsidR="00737F20" w14:paraId="0996D4F6" w14:textId="77777777">
        <w:trPr>
          <w:trHeight w:val="475"/>
        </w:trPr>
        <w:tc>
          <w:tcPr>
            <w:tcW w:w="4295" w:type="dxa"/>
          </w:tcPr>
          <w:p w14:paraId="0821637E" w14:textId="77777777" w:rsidR="00737F20" w:rsidRDefault="0028084F">
            <w:pPr>
              <w:pStyle w:val="TableParagraph"/>
              <w:spacing w:before="94"/>
              <w:ind w:left="50"/>
              <w:jc w:val="left"/>
              <w:rPr>
                <w:rFonts w:ascii="Times New Roman"/>
                <w:sz w:val="24"/>
              </w:rPr>
            </w:pPr>
            <w:r>
              <w:rPr>
                <w:rFonts w:ascii="Times New Roman"/>
                <w:sz w:val="24"/>
              </w:rPr>
              <w:t>Waste Water Maintenance</w:t>
            </w:r>
          </w:p>
        </w:tc>
        <w:tc>
          <w:tcPr>
            <w:tcW w:w="1484" w:type="dxa"/>
          </w:tcPr>
          <w:p w14:paraId="03F282F6" w14:textId="77777777" w:rsidR="00737F20" w:rsidRDefault="0028084F">
            <w:pPr>
              <w:pStyle w:val="TableParagraph"/>
              <w:spacing w:before="94"/>
              <w:ind w:right="30"/>
              <w:rPr>
                <w:rFonts w:ascii="Times New Roman"/>
                <w:sz w:val="24"/>
              </w:rPr>
            </w:pPr>
            <w:r>
              <w:rPr>
                <w:rFonts w:ascii="Times New Roman"/>
                <w:sz w:val="24"/>
              </w:rPr>
              <w:t>803-545-3910</w:t>
            </w:r>
          </w:p>
        </w:tc>
      </w:tr>
      <w:tr w:rsidR="00737F20" w14:paraId="61DE3D31" w14:textId="77777777">
        <w:trPr>
          <w:trHeight w:val="476"/>
        </w:trPr>
        <w:tc>
          <w:tcPr>
            <w:tcW w:w="4295" w:type="dxa"/>
          </w:tcPr>
          <w:p w14:paraId="7A74A0AE" w14:textId="77777777" w:rsidR="00737F20" w:rsidRDefault="0028084F">
            <w:pPr>
              <w:pStyle w:val="TableParagraph"/>
              <w:spacing w:before="94"/>
              <w:ind w:left="50"/>
              <w:jc w:val="left"/>
              <w:rPr>
                <w:rFonts w:ascii="Times New Roman"/>
                <w:sz w:val="24"/>
              </w:rPr>
            </w:pPr>
            <w:r>
              <w:rPr>
                <w:rFonts w:ascii="Times New Roman"/>
                <w:sz w:val="24"/>
              </w:rPr>
              <w:t>Jody Harley (WW Maintenance)</w:t>
            </w:r>
          </w:p>
        </w:tc>
        <w:tc>
          <w:tcPr>
            <w:tcW w:w="1484" w:type="dxa"/>
          </w:tcPr>
          <w:p w14:paraId="67451FB4" w14:textId="77777777" w:rsidR="00737F20" w:rsidRDefault="0028084F">
            <w:pPr>
              <w:pStyle w:val="TableParagraph"/>
              <w:spacing w:before="94"/>
              <w:ind w:right="30"/>
              <w:rPr>
                <w:rFonts w:ascii="Times New Roman"/>
                <w:sz w:val="24"/>
              </w:rPr>
            </w:pPr>
            <w:r>
              <w:rPr>
                <w:rFonts w:ascii="Times New Roman"/>
                <w:sz w:val="24"/>
              </w:rPr>
              <w:t>803-600-5618</w:t>
            </w:r>
          </w:p>
        </w:tc>
      </w:tr>
      <w:tr w:rsidR="00737F20" w14:paraId="0A85AC32" w14:textId="77777777">
        <w:trPr>
          <w:trHeight w:val="476"/>
        </w:trPr>
        <w:tc>
          <w:tcPr>
            <w:tcW w:w="4295" w:type="dxa"/>
          </w:tcPr>
          <w:p w14:paraId="25DE63DC" w14:textId="77777777" w:rsidR="00737F20" w:rsidRDefault="0028084F">
            <w:pPr>
              <w:pStyle w:val="TableParagraph"/>
              <w:spacing w:before="95"/>
              <w:ind w:left="50"/>
              <w:jc w:val="left"/>
              <w:rPr>
                <w:rFonts w:ascii="Times New Roman"/>
                <w:sz w:val="24"/>
              </w:rPr>
            </w:pPr>
            <w:r>
              <w:rPr>
                <w:rFonts w:ascii="Times New Roman"/>
                <w:sz w:val="24"/>
              </w:rPr>
              <w:t>John Riggs (Deputy Director)</w:t>
            </w:r>
          </w:p>
        </w:tc>
        <w:tc>
          <w:tcPr>
            <w:tcW w:w="1484" w:type="dxa"/>
          </w:tcPr>
          <w:p w14:paraId="5FA9A757" w14:textId="77777777" w:rsidR="00737F20" w:rsidRDefault="0028084F">
            <w:pPr>
              <w:pStyle w:val="TableParagraph"/>
              <w:spacing w:before="95"/>
              <w:ind w:right="30"/>
              <w:rPr>
                <w:rFonts w:ascii="Times New Roman"/>
                <w:sz w:val="24"/>
              </w:rPr>
            </w:pPr>
            <w:r>
              <w:rPr>
                <w:rFonts w:ascii="Times New Roman"/>
                <w:sz w:val="24"/>
              </w:rPr>
              <w:t>803-528-4238</w:t>
            </w:r>
          </w:p>
        </w:tc>
      </w:tr>
      <w:tr w:rsidR="00737F20" w14:paraId="3F607453" w14:textId="77777777">
        <w:trPr>
          <w:trHeight w:val="475"/>
        </w:trPr>
        <w:tc>
          <w:tcPr>
            <w:tcW w:w="4295" w:type="dxa"/>
          </w:tcPr>
          <w:p w14:paraId="452BA9BE" w14:textId="77777777" w:rsidR="00737F20" w:rsidRDefault="0028084F">
            <w:pPr>
              <w:pStyle w:val="TableParagraph"/>
              <w:spacing w:before="94"/>
              <w:ind w:left="50"/>
              <w:jc w:val="left"/>
              <w:rPr>
                <w:rFonts w:ascii="Times New Roman"/>
                <w:sz w:val="24"/>
              </w:rPr>
            </w:pPr>
            <w:r>
              <w:rPr>
                <w:rFonts w:ascii="Times New Roman"/>
                <w:sz w:val="24"/>
              </w:rPr>
              <w:t>DHEC (emergency)</w:t>
            </w:r>
          </w:p>
        </w:tc>
        <w:tc>
          <w:tcPr>
            <w:tcW w:w="1484" w:type="dxa"/>
          </w:tcPr>
          <w:p w14:paraId="371BC4FA" w14:textId="77777777" w:rsidR="00737F20" w:rsidRDefault="0028084F">
            <w:pPr>
              <w:pStyle w:val="TableParagraph"/>
              <w:spacing w:before="94"/>
              <w:ind w:right="30"/>
              <w:rPr>
                <w:rFonts w:ascii="Times New Roman"/>
                <w:sz w:val="24"/>
              </w:rPr>
            </w:pPr>
            <w:r>
              <w:rPr>
                <w:rFonts w:ascii="Times New Roman"/>
                <w:sz w:val="24"/>
              </w:rPr>
              <w:t>803-253-6488</w:t>
            </w:r>
          </w:p>
        </w:tc>
      </w:tr>
      <w:tr w:rsidR="00737F20" w14:paraId="6F028EC5" w14:textId="77777777">
        <w:trPr>
          <w:trHeight w:val="476"/>
        </w:trPr>
        <w:tc>
          <w:tcPr>
            <w:tcW w:w="4295" w:type="dxa"/>
          </w:tcPr>
          <w:p w14:paraId="725B7542" w14:textId="213AE1F8" w:rsidR="00737F20" w:rsidRDefault="00737F20" w:rsidP="004F33AB">
            <w:pPr>
              <w:pStyle w:val="TableParagraph"/>
              <w:spacing w:before="94"/>
              <w:ind w:left="0"/>
              <w:jc w:val="left"/>
              <w:rPr>
                <w:rFonts w:ascii="Times New Roman"/>
                <w:sz w:val="24"/>
              </w:rPr>
            </w:pPr>
          </w:p>
        </w:tc>
        <w:tc>
          <w:tcPr>
            <w:tcW w:w="1484" w:type="dxa"/>
          </w:tcPr>
          <w:p w14:paraId="39AE4E67" w14:textId="6497739B" w:rsidR="00737F20" w:rsidRDefault="00737F20">
            <w:pPr>
              <w:pStyle w:val="TableParagraph"/>
              <w:spacing w:before="94"/>
              <w:ind w:right="30"/>
              <w:rPr>
                <w:rFonts w:ascii="Times New Roman"/>
                <w:sz w:val="24"/>
              </w:rPr>
            </w:pPr>
          </w:p>
        </w:tc>
      </w:tr>
      <w:tr w:rsidR="00737F20" w14:paraId="137CBB06" w14:textId="77777777">
        <w:trPr>
          <w:trHeight w:val="371"/>
        </w:trPr>
        <w:tc>
          <w:tcPr>
            <w:tcW w:w="4295" w:type="dxa"/>
          </w:tcPr>
          <w:p w14:paraId="502C1519" w14:textId="53374FC2" w:rsidR="00737F20" w:rsidRDefault="00737F20">
            <w:pPr>
              <w:pStyle w:val="TableParagraph"/>
              <w:spacing w:before="95" w:line="256" w:lineRule="exact"/>
              <w:ind w:left="50"/>
              <w:jc w:val="left"/>
              <w:rPr>
                <w:rFonts w:ascii="Times New Roman"/>
                <w:sz w:val="24"/>
              </w:rPr>
            </w:pPr>
          </w:p>
        </w:tc>
        <w:tc>
          <w:tcPr>
            <w:tcW w:w="1484" w:type="dxa"/>
          </w:tcPr>
          <w:p w14:paraId="463251E6" w14:textId="6AFBA6B5" w:rsidR="00737F20" w:rsidRDefault="00737F20">
            <w:pPr>
              <w:pStyle w:val="TableParagraph"/>
              <w:spacing w:before="95" w:line="256" w:lineRule="exact"/>
              <w:ind w:right="30"/>
              <w:rPr>
                <w:rFonts w:ascii="Times New Roman"/>
                <w:sz w:val="24"/>
              </w:rPr>
            </w:pPr>
          </w:p>
        </w:tc>
      </w:tr>
    </w:tbl>
    <w:p w14:paraId="331FA02F" w14:textId="77777777" w:rsidR="00737F20" w:rsidRDefault="00737F20">
      <w:pPr>
        <w:spacing w:line="256" w:lineRule="exact"/>
        <w:rPr>
          <w:sz w:val="24"/>
        </w:rPr>
        <w:sectPr w:rsidR="00737F20">
          <w:pgSz w:w="12240" w:h="15840"/>
          <w:pgMar w:top="1360" w:right="160" w:bottom="280" w:left="100" w:header="720" w:footer="720" w:gutter="0"/>
          <w:cols w:space="720"/>
        </w:sectPr>
      </w:pPr>
    </w:p>
    <w:p w14:paraId="5F50FE18" w14:textId="77777777" w:rsidR="00737F20" w:rsidRDefault="0028084F">
      <w:pPr>
        <w:pStyle w:val="Heading3"/>
        <w:spacing w:before="79"/>
      </w:pPr>
      <w:r>
        <w:lastRenderedPageBreak/>
        <w:t>SPILL NOTIFICATION</w:t>
      </w:r>
    </w:p>
    <w:p w14:paraId="4130C273" w14:textId="77777777" w:rsidR="00737F20" w:rsidRDefault="00737F20">
      <w:pPr>
        <w:pStyle w:val="BodyText"/>
        <w:rPr>
          <w:b/>
        </w:rPr>
      </w:pPr>
    </w:p>
    <w:p w14:paraId="06A0868E" w14:textId="78137BC6" w:rsidR="00737F20" w:rsidRDefault="0028084F">
      <w:pPr>
        <w:pStyle w:val="BodyText"/>
        <w:ind w:left="1339" w:right="1443"/>
      </w:pPr>
      <w:r>
        <w:t xml:space="preserve">In the event that a spill is found by someone other than </w:t>
      </w:r>
      <w:r w:rsidR="00350CA9">
        <w:t>the Contractor</w:t>
      </w:r>
      <w:r>
        <w:t xml:space="preserve"> the below contacts are provided. The designated emergency personnel will mobilize to the site immediately to begin containment of the spill and repair of 30” force main. Below is the list of </w:t>
      </w:r>
      <w:r w:rsidR="00350CA9">
        <w:t>the Contractor’s</w:t>
      </w:r>
      <w:r>
        <w:t xml:space="preserve"> employees designated as emergency responders. They will be contacted by the </w:t>
      </w:r>
      <w:r w:rsidR="00E829B0">
        <w:t>Contractor’s</w:t>
      </w:r>
      <w:r>
        <w:t xml:space="preserve"> representative:</w:t>
      </w:r>
    </w:p>
    <w:p w14:paraId="6C0D120D" w14:textId="638E232B" w:rsidR="004F33AB" w:rsidRDefault="004F33AB">
      <w:pPr>
        <w:pStyle w:val="BodyText"/>
        <w:tabs>
          <w:tab w:val="left" w:pos="2059"/>
          <w:tab w:val="left" w:pos="4219"/>
        </w:tabs>
        <w:spacing w:before="184" w:line="408" w:lineRule="auto"/>
        <w:ind w:left="1339" w:right="4433"/>
      </w:pPr>
      <w:r>
        <w:t>1</w:t>
      </w:r>
      <w:r w:rsidRPr="004F33AB">
        <w:rPr>
          <w:vertAlign w:val="superscript"/>
        </w:rPr>
        <w:t>st</w:t>
      </w:r>
      <w:r>
        <w:t xml:space="preserve"> </w:t>
      </w:r>
      <w:r>
        <w:tab/>
        <w:t>______________</w:t>
      </w:r>
      <w:r>
        <w:tab/>
        <w:t>(___) ___-____</w:t>
      </w:r>
      <w:r w:rsidR="00350CA9">
        <w:t xml:space="preserve"> </w:t>
      </w:r>
      <w:r>
        <w:t>(primary contact</w:t>
      </w:r>
      <w:r w:rsidR="001F38D6">
        <w:t>)</w:t>
      </w:r>
    </w:p>
    <w:p w14:paraId="5756A1B8" w14:textId="5EE801DC" w:rsidR="00737F20" w:rsidRDefault="0028084F">
      <w:pPr>
        <w:pStyle w:val="BodyText"/>
        <w:tabs>
          <w:tab w:val="left" w:pos="2059"/>
          <w:tab w:val="left" w:pos="4219"/>
        </w:tabs>
        <w:spacing w:before="184" w:line="408" w:lineRule="auto"/>
        <w:ind w:left="1339" w:right="4433"/>
      </w:pPr>
      <w:r>
        <w:t>2</w:t>
      </w:r>
      <w:r>
        <w:rPr>
          <w:position w:val="9"/>
          <w:sz w:val="16"/>
        </w:rPr>
        <w:t>nd</w:t>
      </w:r>
      <w:r w:rsidR="004F33AB">
        <w:rPr>
          <w:position w:val="9"/>
          <w:sz w:val="16"/>
        </w:rPr>
        <w:tab/>
        <w:t>_______________________</w:t>
      </w:r>
      <w:r>
        <w:tab/>
      </w:r>
      <w:r w:rsidR="004F33AB">
        <w:t>(___) ___-___</w:t>
      </w:r>
      <w:r>
        <w:t xml:space="preserve"> (secondary contact) Emergency</w:t>
      </w:r>
      <w:r>
        <w:rPr>
          <w:spacing w:val="-1"/>
        </w:rPr>
        <w:t xml:space="preserve"> </w:t>
      </w:r>
      <w:r>
        <w:t>Personnel</w:t>
      </w:r>
    </w:p>
    <w:p w14:paraId="350B0B40" w14:textId="186CD40C" w:rsidR="00E829B0" w:rsidRDefault="00350CA9" w:rsidP="00E829B0">
      <w:pPr>
        <w:pStyle w:val="BodyText"/>
        <w:tabs>
          <w:tab w:val="left" w:pos="3499"/>
          <w:tab w:val="left" w:pos="4219"/>
          <w:tab w:val="left" w:pos="4939"/>
          <w:tab w:val="left" w:pos="7099"/>
        </w:tabs>
        <w:spacing w:before="5"/>
        <w:ind w:left="2059" w:right="3193" w:hanging="720"/>
      </w:pPr>
      <w:r>
        <w:t>________________</w:t>
      </w:r>
      <w:r w:rsidR="00E829B0">
        <w:t>_______________</w:t>
      </w:r>
    </w:p>
    <w:p w14:paraId="4307764C" w14:textId="466586E1" w:rsidR="00E829B0" w:rsidRDefault="00E829B0" w:rsidP="00E829B0">
      <w:pPr>
        <w:pStyle w:val="BodyText"/>
        <w:tabs>
          <w:tab w:val="left" w:pos="3499"/>
          <w:tab w:val="left" w:pos="4219"/>
          <w:tab w:val="left" w:pos="4939"/>
          <w:tab w:val="left" w:pos="7099"/>
        </w:tabs>
        <w:spacing w:before="5"/>
        <w:ind w:left="2059" w:right="3193" w:hanging="720"/>
      </w:pPr>
      <w:r>
        <w:t>_______________________________</w:t>
      </w:r>
    </w:p>
    <w:p w14:paraId="1FAB9127" w14:textId="77777777" w:rsidR="00737F20" w:rsidRDefault="0028084F">
      <w:pPr>
        <w:pStyle w:val="Heading3"/>
        <w:spacing w:before="202"/>
      </w:pPr>
      <w:r>
        <w:t>MINOR REPAIR</w:t>
      </w:r>
    </w:p>
    <w:p w14:paraId="13EC550B" w14:textId="7BBFAE8B" w:rsidR="00737F20" w:rsidRDefault="00350CA9">
      <w:pPr>
        <w:pStyle w:val="BodyText"/>
        <w:spacing w:before="199"/>
        <w:ind w:left="1339" w:right="1290"/>
      </w:pPr>
      <w:r>
        <w:t>The Contractor will have the designated emergency response personnel that will mobilize to the site in the event that a break or leak occurs in the 30” force main system. This crew will include equipment, tools, and the necessary materials to deal with a minor repair that is needed to the 30” force main. Additionally, the Lift Station Supervisor will be contacted by the Contractor to request that flows from the Saluda River Pump Station be diverted to the holding tanks to minimize any migration of sewer from the leak location. The emergency response personnel will have a repair band for 30” pipe, a 6” pump with discharge hose, pipe cutting equipment, excavators, loaders, and all necessary lifting slings to make minor repairs to the 30” force main. To minimize the migration of sewer from the leak location, the Contractor will utilize ditching and dig a containment area to hold the sewer during the repair. We will also contact a local pump truck service company to aid in transporting the released sewer to the closest downstream manhole.</w:t>
      </w:r>
    </w:p>
    <w:p w14:paraId="6C875299" w14:textId="77777777" w:rsidR="00737F20" w:rsidRDefault="0028084F">
      <w:pPr>
        <w:pStyle w:val="Heading3"/>
        <w:spacing w:before="199"/>
      </w:pPr>
      <w:r>
        <w:t>CATASTROPHIC FAILURE</w:t>
      </w:r>
    </w:p>
    <w:p w14:paraId="1E789BFD" w14:textId="7E8FEC70" w:rsidR="00737F20" w:rsidRDefault="0028084F">
      <w:pPr>
        <w:pStyle w:val="BodyText"/>
        <w:spacing w:before="200"/>
        <w:ind w:left="1339" w:right="1345"/>
      </w:pPr>
      <w:r>
        <w:t xml:space="preserve">In the unlikely event that the 30” force main completely fails or a break and the line cannot be repaired with a repair band, </w:t>
      </w:r>
      <w:r w:rsidR="00350CA9">
        <w:t>the Contractor</w:t>
      </w:r>
      <w:r>
        <w:t xml:space="preserve"> will always maintain the option of using the new adapters, new 30” ductile iron and sleeves that are designated for the tie ins to repair the force main. This option will be closely coordinated with City of Columbia, DHEC and all subcontractors working under </w:t>
      </w:r>
      <w:r w:rsidR="00350CA9">
        <w:t>the Contractor</w:t>
      </w:r>
      <w:r>
        <w:t xml:space="preserve">. This option will require ditching, containment area excavation, pump and hauling, and possible </w:t>
      </w:r>
      <w:r w:rsidR="00350CA9">
        <w:t>bypass</w:t>
      </w:r>
      <w:r>
        <w:t xml:space="preserve"> pumping to the air release located downstream of the leak on the existing 30” force</w:t>
      </w:r>
      <w:r>
        <w:rPr>
          <w:spacing w:val="-12"/>
        </w:rPr>
        <w:t xml:space="preserve"> </w:t>
      </w:r>
      <w:r>
        <w:t>main.</w:t>
      </w:r>
    </w:p>
    <w:p w14:paraId="1404FBAD" w14:textId="77777777" w:rsidR="00737F20" w:rsidRDefault="0028084F">
      <w:pPr>
        <w:pStyle w:val="Heading3"/>
        <w:spacing w:before="201"/>
      </w:pPr>
      <w:r>
        <w:t>SEWER SPILL DOCUMENTATION</w:t>
      </w:r>
    </w:p>
    <w:p w14:paraId="1E37C942" w14:textId="77777777" w:rsidR="00737F20" w:rsidRDefault="0028084F">
      <w:pPr>
        <w:pStyle w:val="BodyText"/>
        <w:spacing w:before="200"/>
        <w:ind w:left="1339" w:right="1476"/>
      </w:pPr>
      <w:r>
        <w:t>In case of a sewage spill, the Contractor shall act immediately without instructions from the Owner’s Representative, to control the spill and take all appropriate steps to contain it in accordance with the Pollution Control and sewage Spill Prevention and Response Plan. The Contractor shall immediately notify the Owner’s Representative of a spill and all actions taken. The Contractor shall, within three working days from the occurrence of the spill, submit to the</w:t>
      </w:r>
    </w:p>
    <w:p w14:paraId="5D309F4C" w14:textId="77777777" w:rsidR="00737F20" w:rsidRDefault="00737F20">
      <w:pPr>
        <w:sectPr w:rsidR="00737F20">
          <w:pgSz w:w="12240" w:h="15840"/>
          <w:pgMar w:top="1360" w:right="160" w:bottom="280" w:left="100" w:header="720" w:footer="720" w:gutter="0"/>
          <w:cols w:space="720"/>
        </w:sectPr>
      </w:pPr>
    </w:p>
    <w:p w14:paraId="2D5C1AE6" w14:textId="77777777" w:rsidR="00737F20" w:rsidRDefault="0028084F">
      <w:pPr>
        <w:pStyle w:val="BodyText"/>
        <w:spacing w:before="79"/>
        <w:ind w:left="1339" w:right="1543"/>
      </w:pPr>
      <w:r>
        <w:lastRenderedPageBreak/>
        <w:t>Owner’s Representative a written confirmation describing the following information related to the spill:</w:t>
      </w:r>
    </w:p>
    <w:p w14:paraId="4180BFCC" w14:textId="77777777" w:rsidR="00737F20" w:rsidRDefault="0028084F">
      <w:pPr>
        <w:pStyle w:val="ListParagraph"/>
        <w:numPr>
          <w:ilvl w:val="0"/>
          <w:numId w:val="1"/>
        </w:numPr>
        <w:tabs>
          <w:tab w:val="left" w:pos="2060"/>
        </w:tabs>
        <w:spacing w:before="199"/>
        <w:rPr>
          <w:sz w:val="24"/>
        </w:rPr>
      </w:pPr>
      <w:r>
        <w:rPr>
          <w:sz w:val="24"/>
        </w:rPr>
        <w:t>Nature and</w:t>
      </w:r>
      <w:r>
        <w:rPr>
          <w:spacing w:val="-2"/>
          <w:sz w:val="24"/>
        </w:rPr>
        <w:t xml:space="preserve"> </w:t>
      </w:r>
      <w:r>
        <w:rPr>
          <w:sz w:val="24"/>
        </w:rPr>
        <w:t>volume</w:t>
      </w:r>
    </w:p>
    <w:p w14:paraId="034AD193" w14:textId="77777777" w:rsidR="00737F20" w:rsidRDefault="0028084F">
      <w:pPr>
        <w:pStyle w:val="ListParagraph"/>
        <w:numPr>
          <w:ilvl w:val="0"/>
          <w:numId w:val="1"/>
        </w:numPr>
        <w:tabs>
          <w:tab w:val="left" w:pos="2060"/>
        </w:tabs>
        <w:rPr>
          <w:sz w:val="24"/>
        </w:rPr>
      </w:pPr>
      <w:r>
        <w:rPr>
          <w:sz w:val="24"/>
        </w:rPr>
        <w:t>Specific location, date and</w:t>
      </w:r>
      <w:r>
        <w:rPr>
          <w:spacing w:val="-1"/>
          <w:sz w:val="24"/>
        </w:rPr>
        <w:t xml:space="preserve"> </w:t>
      </w:r>
      <w:r>
        <w:rPr>
          <w:sz w:val="24"/>
        </w:rPr>
        <w:t>time</w:t>
      </w:r>
    </w:p>
    <w:p w14:paraId="6856AD6C" w14:textId="77777777" w:rsidR="00737F20" w:rsidRDefault="0028084F">
      <w:pPr>
        <w:pStyle w:val="ListParagraph"/>
        <w:numPr>
          <w:ilvl w:val="0"/>
          <w:numId w:val="1"/>
        </w:numPr>
        <w:tabs>
          <w:tab w:val="left" w:pos="2060"/>
        </w:tabs>
        <w:rPr>
          <w:sz w:val="24"/>
        </w:rPr>
      </w:pPr>
      <w:r>
        <w:rPr>
          <w:sz w:val="24"/>
        </w:rPr>
        <w:t>Duration</w:t>
      </w:r>
    </w:p>
    <w:p w14:paraId="6047EAD7" w14:textId="77777777" w:rsidR="00737F20" w:rsidRDefault="0028084F">
      <w:pPr>
        <w:pStyle w:val="ListParagraph"/>
        <w:numPr>
          <w:ilvl w:val="0"/>
          <w:numId w:val="1"/>
        </w:numPr>
        <w:tabs>
          <w:tab w:val="left" w:pos="2060"/>
        </w:tabs>
        <w:rPr>
          <w:sz w:val="24"/>
        </w:rPr>
      </w:pPr>
      <w:r>
        <w:rPr>
          <w:sz w:val="24"/>
        </w:rPr>
        <w:t>Cause</w:t>
      </w:r>
    </w:p>
    <w:p w14:paraId="42092C72" w14:textId="77777777" w:rsidR="00737F20" w:rsidRDefault="0028084F">
      <w:pPr>
        <w:pStyle w:val="ListParagraph"/>
        <w:numPr>
          <w:ilvl w:val="0"/>
          <w:numId w:val="1"/>
        </w:numPr>
        <w:tabs>
          <w:tab w:val="left" w:pos="2060"/>
        </w:tabs>
        <w:ind w:right="2820"/>
        <w:rPr>
          <w:sz w:val="24"/>
        </w:rPr>
      </w:pPr>
      <w:r>
        <w:rPr>
          <w:sz w:val="24"/>
        </w:rPr>
        <w:t>Type of remedial and/or clean up measures taken and the date and time of implementation</w:t>
      </w:r>
    </w:p>
    <w:p w14:paraId="74FAF24B" w14:textId="77777777" w:rsidR="00737F20" w:rsidRDefault="0028084F">
      <w:pPr>
        <w:pStyle w:val="ListParagraph"/>
        <w:numPr>
          <w:ilvl w:val="0"/>
          <w:numId w:val="1"/>
        </w:numPr>
        <w:tabs>
          <w:tab w:val="left" w:pos="2060"/>
        </w:tabs>
        <w:rPr>
          <w:sz w:val="24"/>
        </w:rPr>
      </w:pPr>
      <w:r>
        <w:rPr>
          <w:sz w:val="24"/>
        </w:rPr>
        <w:t>Corrective and/or preventative actions</w:t>
      </w:r>
      <w:r>
        <w:rPr>
          <w:spacing w:val="-4"/>
          <w:sz w:val="24"/>
        </w:rPr>
        <w:t xml:space="preserve"> </w:t>
      </w:r>
      <w:r>
        <w:rPr>
          <w:sz w:val="24"/>
        </w:rPr>
        <w:t>taken</w:t>
      </w:r>
    </w:p>
    <w:p w14:paraId="5A2E2221" w14:textId="77777777" w:rsidR="00737F20" w:rsidRDefault="0028084F">
      <w:pPr>
        <w:pStyle w:val="ListParagraph"/>
        <w:numPr>
          <w:ilvl w:val="0"/>
          <w:numId w:val="1"/>
        </w:numPr>
        <w:tabs>
          <w:tab w:val="left" w:pos="2060"/>
        </w:tabs>
        <w:rPr>
          <w:sz w:val="24"/>
        </w:rPr>
      </w:pPr>
      <w:r>
        <w:rPr>
          <w:sz w:val="24"/>
        </w:rPr>
        <w:t>Water body impacted and results of any necessary</w:t>
      </w:r>
      <w:r>
        <w:rPr>
          <w:spacing w:val="-4"/>
          <w:sz w:val="24"/>
        </w:rPr>
        <w:t xml:space="preserve"> </w:t>
      </w:r>
      <w:r>
        <w:rPr>
          <w:sz w:val="24"/>
        </w:rPr>
        <w:t>monitoring</w:t>
      </w:r>
    </w:p>
    <w:p w14:paraId="3053E548" w14:textId="0A7013FF" w:rsidR="00350CA9" w:rsidRDefault="0028084F" w:rsidP="00350CA9">
      <w:pPr>
        <w:pStyle w:val="BodyText"/>
        <w:spacing w:before="202" w:line="412" w:lineRule="auto"/>
        <w:ind w:left="1340" w:right="2535"/>
      </w:pPr>
      <w:r>
        <w:t xml:space="preserve">The spill report will come from the following </w:t>
      </w:r>
      <w:r w:rsidR="00350CA9">
        <w:t>Contractor</w:t>
      </w:r>
      <w:r>
        <w:t xml:space="preserve"> personnel: </w:t>
      </w:r>
    </w:p>
    <w:p w14:paraId="6B260D62" w14:textId="5B88DFE8" w:rsidR="00737F20" w:rsidRDefault="00350CA9" w:rsidP="00350CA9">
      <w:pPr>
        <w:pStyle w:val="BodyText"/>
        <w:spacing w:before="202" w:line="412" w:lineRule="auto"/>
        <w:ind w:left="1340" w:right="2535"/>
        <w:rPr>
          <w:sz w:val="20"/>
        </w:rPr>
      </w:pPr>
      <w:r>
        <w:t>____________________</w:t>
      </w:r>
    </w:p>
    <w:p w14:paraId="2DDC601D" w14:textId="77777777" w:rsidR="00737F20" w:rsidRDefault="00737F20">
      <w:pPr>
        <w:pStyle w:val="BodyText"/>
        <w:rPr>
          <w:sz w:val="20"/>
        </w:rPr>
      </w:pPr>
    </w:p>
    <w:p w14:paraId="7A600795" w14:textId="77777777" w:rsidR="00737F20" w:rsidRDefault="00737F20">
      <w:pPr>
        <w:pStyle w:val="BodyText"/>
        <w:rPr>
          <w:sz w:val="20"/>
        </w:rPr>
      </w:pPr>
    </w:p>
    <w:p w14:paraId="510FD12B" w14:textId="77777777" w:rsidR="00737F20" w:rsidRDefault="00737F20">
      <w:pPr>
        <w:pStyle w:val="BodyText"/>
        <w:rPr>
          <w:sz w:val="20"/>
        </w:rPr>
      </w:pPr>
    </w:p>
    <w:p w14:paraId="66D84A24" w14:textId="77777777" w:rsidR="00737F20" w:rsidRDefault="00737F20">
      <w:pPr>
        <w:pStyle w:val="BodyText"/>
        <w:rPr>
          <w:sz w:val="20"/>
        </w:rPr>
      </w:pPr>
    </w:p>
    <w:p w14:paraId="12A13A05" w14:textId="77777777" w:rsidR="00737F20" w:rsidRDefault="00737F20">
      <w:pPr>
        <w:pStyle w:val="BodyText"/>
        <w:rPr>
          <w:sz w:val="20"/>
        </w:rPr>
      </w:pPr>
    </w:p>
    <w:p w14:paraId="4E3B9DB8" w14:textId="77777777" w:rsidR="00737F20" w:rsidRDefault="00737F20">
      <w:pPr>
        <w:pStyle w:val="BodyText"/>
        <w:rPr>
          <w:sz w:val="20"/>
        </w:rPr>
      </w:pPr>
    </w:p>
    <w:p w14:paraId="601E75C2" w14:textId="77777777" w:rsidR="00737F20" w:rsidRDefault="00737F20">
      <w:pPr>
        <w:pStyle w:val="BodyText"/>
        <w:rPr>
          <w:sz w:val="20"/>
        </w:rPr>
      </w:pPr>
    </w:p>
    <w:p w14:paraId="0B986C1F" w14:textId="77777777" w:rsidR="00737F20" w:rsidRDefault="00737F20">
      <w:pPr>
        <w:pStyle w:val="BodyText"/>
        <w:rPr>
          <w:sz w:val="20"/>
        </w:rPr>
      </w:pPr>
    </w:p>
    <w:p w14:paraId="7178902A" w14:textId="77777777" w:rsidR="00737F20" w:rsidRDefault="00737F20">
      <w:pPr>
        <w:pStyle w:val="BodyText"/>
        <w:rPr>
          <w:sz w:val="20"/>
        </w:rPr>
      </w:pPr>
    </w:p>
    <w:p w14:paraId="393F9039" w14:textId="77777777" w:rsidR="00737F20" w:rsidRDefault="00737F20">
      <w:pPr>
        <w:pStyle w:val="BodyText"/>
        <w:rPr>
          <w:sz w:val="16"/>
        </w:rPr>
      </w:pPr>
    </w:p>
    <w:sectPr w:rsidR="00737F20" w:rsidSect="00350CA9">
      <w:pgSz w:w="12240" w:h="15840"/>
      <w:pgMar w:top="1500" w:right="160" w:bottom="280" w:left="1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A2C4D8" w14:textId="77777777" w:rsidR="00D520D9" w:rsidRDefault="00D520D9" w:rsidP="0028084F">
      <w:r>
        <w:separator/>
      </w:r>
    </w:p>
  </w:endnote>
  <w:endnote w:type="continuationSeparator" w:id="0">
    <w:p w14:paraId="0C88F402" w14:textId="77777777" w:rsidR="00D520D9" w:rsidRDefault="00D520D9" w:rsidP="00280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altName w:val="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70713A" w14:textId="77777777" w:rsidR="00D520D9" w:rsidRDefault="00D520D9" w:rsidP="0028084F">
      <w:r>
        <w:separator/>
      </w:r>
    </w:p>
  </w:footnote>
  <w:footnote w:type="continuationSeparator" w:id="0">
    <w:p w14:paraId="54F8658B" w14:textId="77777777" w:rsidR="00D520D9" w:rsidRDefault="00D520D9" w:rsidP="002808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1CF7CA8"/>
    <w:multiLevelType w:val="hybridMultilevel"/>
    <w:tmpl w:val="1A5A44C4"/>
    <w:lvl w:ilvl="0" w:tplc="A8ECD0B0">
      <w:start w:val="1"/>
      <w:numFmt w:val="upperLetter"/>
      <w:lvlText w:val="%1."/>
      <w:lvlJc w:val="left"/>
      <w:pPr>
        <w:ind w:left="2060" w:hanging="360"/>
        <w:jc w:val="left"/>
      </w:pPr>
      <w:rPr>
        <w:rFonts w:ascii="Times New Roman" w:eastAsia="Times New Roman" w:hAnsi="Times New Roman" w:cs="Times New Roman" w:hint="default"/>
        <w:spacing w:val="-1"/>
        <w:w w:val="99"/>
        <w:sz w:val="24"/>
        <w:szCs w:val="24"/>
      </w:rPr>
    </w:lvl>
    <w:lvl w:ilvl="1" w:tplc="A02E9B3C">
      <w:numFmt w:val="bullet"/>
      <w:lvlText w:val="•"/>
      <w:lvlJc w:val="left"/>
      <w:pPr>
        <w:ind w:left="3052" w:hanging="360"/>
      </w:pPr>
      <w:rPr>
        <w:rFonts w:hint="default"/>
      </w:rPr>
    </w:lvl>
    <w:lvl w:ilvl="2" w:tplc="B18A70DC">
      <w:numFmt w:val="bullet"/>
      <w:lvlText w:val="•"/>
      <w:lvlJc w:val="left"/>
      <w:pPr>
        <w:ind w:left="4044" w:hanging="360"/>
      </w:pPr>
      <w:rPr>
        <w:rFonts w:hint="default"/>
      </w:rPr>
    </w:lvl>
    <w:lvl w:ilvl="3" w:tplc="3386F30A">
      <w:numFmt w:val="bullet"/>
      <w:lvlText w:val="•"/>
      <w:lvlJc w:val="left"/>
      <w:pPr>
        <w:ind w:left="5036" w:hanging="360"/>
      </w:pPr>
      <w:rPr>
        <w:rFonts w:hint="default"/>
      </w:rPr>
    </w:lvl>
    <w:lvl w:ilvl="4" w:tplc="6BBC6BE0">
      <w:numFmt w:val="bullet"/>
      <w:lvlText w:val="•"/>
      <w:lvlJc w:val="left"/>
      <w:pPr>
        <w:ind w:left="6028" w:hanging="360"/>
      </w:pPr>
      <w:rPr>
        <w:rFonts w:hint="default"/>
      </w:rPr>
    </w:lvl>
    <w:lvl w:ilvl="5" w:tplc="0D62C9C4">
      <w:numFmt w:val="bullet"/>
      <w:lvlText w:val="•"/>
      <w:lvlJc w:val="left"/>
      <w:pPr>
        <w:ind w:left="7020" w:hanging="360"/>
      </w:pPr>
      <w:rPr>
        <w:rFonts w:hint="default"/>
      </w:rPr>
    </w:lvl>
    <w:lvl w:ilvl="6" w:tplc="E3DACD10">
      <w:numFmt w:val="bullet"/>
      <w:lvlText w:val="•"/>
      <w:lvlJc w:val="left"/>
      <w:pPr>
        <w:ind w:left="8012" w:hanging="360"/>
      </w:pPr>
      <w:rPr>
        <w:rFonts w:hint="default"/>
      </w:rPr>
    </w:lvl>
    <w:lvl w:ilvl="7" w:tplc="7BCEEFDA">
      <w:numFmt w:val="bullet"/>
      <w:lvlText w:val="•"/>
      <w:lvlJc w:val="left"/>
      <w:pPr>
        <w:ind w:left="9004" w:hanging="360"/>
      </w:pPr>
      <w:rPr>
        <w:rFonts w:hint="default"/>
      </w:rPr>
    </w:lvl>
    <w:lvl w:ilvl="8" w:tplc="3BD26018">
      <w:numFmt w:val="bullet"/>
      <w:lvlText w:val="•"/>
      <w:lvlJc w:val="left"/>
      <w:pPr>
        <w:ind w:left="9996" w:hanging="360"/>
      </w:pPr>
      <w:rPr>
        <w:rFonts w:hint="default"/>
      </w:rPr>
    </w:lvl>
  </w:abstractNum>
  <w:num w:numId="1" w16cid:durableId="6647423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hdrShapeDefaults>
    <o:shapedefaults v:ext="edit" spidmax="2051"/>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737F20"/>
    <w:rsid w:val="00070C97"/>
    <w:rsid w:val="000E147D"/>
    <w:rsid w:val="001F38D6"/>
    <w:rsid w:val="00260897"/>
    <w:rsid w:val="0028084F"/>
    <w:rsid w:val="002E4FF4"/>
    <w:rsid w:val="00350CA9"/>
    <w:rsid w:val="004B351D"/>
    <w:rsid w:val="004F33AB"/>
    <w:rsid w:val="005D3C5D"/>
    <w:rsid w:val="0066139E"/>
    <w:rsid w:val="006F308E"/>
    <w:rsid w:val="00737F20"/>
    <w:rsid w:val="00794C2A"/>
    <w:rsid w:val="00CC6C84"/>
    <w:rsid w:val="00D520D9"/>
    <w:rsid w:val="00E025EE"/>
    <w:rsid w:val="00E829B0"/>
    <w:rsid w:val="00EF6B37"/>
    <w:rsid w:val="00F761E4"/>
    <w:rsid w:val="00FB37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0563584"/>
  <w15:docId w15:val="{69D359E4-A1F2-49F0-9B69-C9978A775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spacing w:before="85"/>
      <w:ind w:left="1839" w:right="1778"/>
      <w:jc w:val="center"/>
      <w:outlineLvl w:val="0"/>
    </w:pPr>
    <w:rPr>
      <w:b/>
      <w:bCs/>
      <w:sz w:val="36"/>
      <w:szCs w:val="36"/>
    </w:rPr>
  </w:style>
  <w:style w:type="paragraph" w:styleId="Heading2">
    <w:name w:val="heading 2"/>
    <w:basedOn w:val="Normal"/>
    <w:uiPriority w:val="9"/>
    <w:unhideWhenUsed/>
    <w:qFormat/>
    <w:pPr>
      <w:ind w:left="701"/>
      <w:outlineLvl w:val="1"/>
    </w:pPr>
    <w:rPr>
      <w:rFonts w:ascii="Arial Black" w:eastAsia="Arial Black" w:hAnsi="Arial Black" w:cs="Arial Black"/>
      <w:sz w:val="25"/>
      <w:szCs w:val="25"/>
    </w:rPr>
  </w:style>
  <w:style w:type="paragraph" w:styleId="Heading3">
    <w:name w:val="heading 3"/>
    <w:basedOn w:val="Normal"/>
    <w:uiPriority w:val="9"/>
    <w:unhideWhenUsed/>
    <w:qFormat/>
    <w:pPr>
      <w:ind w:left="1339"/>
      <w:outlineLvl w:val="2"/>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2060" w:hanging="360"/>
    </w:pPr>
  </w:style>
  <w:style w:type="paragraph" w:customStyle="1" w:styleId="TableParagraph">
    <w:name w:val="Table Paragraph"/>
    <w:basedOn w:val="Normal"/>
    <w:uiPriority w:val="1"/>
    <w:qFormat/>
    <w:pPr>
      <w:spacing w:before="12"/>
      <w:ind w:left="54"/>
      <w:jc w:val="center"/>
    </w:pPr>
    <w:rPr>
      <w:rFonts w:ascii="Arial Black" w:eastAsia="Arial Black" w:hAnsi="Arial Black" w:cs="Arial Black"/>
    </w:rPr>
  </w:style>
  <w:style w:type="paragraph" w:styleId="Header">
    <w:name w:val="header"/>
    <w:basedOn w:val="Normal"/>
    <w:link w:val="HeaderChar"/>
    <w:uiPriority w:val="99"/>
    <w:unhideWhenUsed/>
    <w:rsid w:val="0028084F"/>
    <w:pPr>
      <w:tabs>
        <w:tab w:val="center" w:pos="4680"/>
        <w:tab w:val="right" w:pos="9360"/>
      </w:tabs>
    </w:pPr>
  </w:style>
  <w:style w:type="character" w:customStyle="1" w:styleId="HeaderChar">
    <w:name w:val="Header Char"/>
    <w:basedOn w:val="DefaultParagraphFont"/>
    <w:link w:val="Header"/>
    <w:uiPriority w:val="99"/>
    <w:rsid w:val="0028084F"/>
    <w:rPr>
      <w:rFonts w:ascii="Times New Roman" w:eastAsia="Times New Roman" w:hAnsi="Times New Roman" w:cs="Times New Roman"/>
    </w:rPr>
  </w:style>
  <w:style w:type="paragraph" w:styleId="Footer">
    <w:name w:val="footer"/>
    <w:basedOn w:val="Normal"/>
    <w:link w:val="FooterChar"/>
    <w:uiPriority w:val="99"/>
    <w:unhideWhenUsed/>
    <w:rsid w:val="0028084F"/>
    <w:pPr>
      <w:tabs>
        <w:tab w:val="center" w:pos="4680"/>
        <w:tab w:val="right" w:pos="9360"/>
      </w:tabs>
    </w:pPr>
  </w:style>
  <w:style w:type="character" w:customStyle="1" w:styleId="FooterChar">
    <w:name w:val="Footer Char"/>
    <w:basedOn w:val="DefaultParagraphFont"/>
    <w:link w:val="Footer"/>
    <w:uiPriority w:val="99"/>
    <w:rsid w:val="0028084F"/>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1aa534e-81a1-420d-8d5f-2e71f0c87463" xsi:nil="true"/>
    <DescriptionField xmlns="b72834a5-a69b-4ec8-aeaf-25208b965166" xsi:nil="true"/>
    <lcf76f155ced4ddcb4097134ff3c332f xmlns="b72834a5-a69b-4ec8-aeaf-25208b96516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3AED7797F9FF40846F8A8A34DBF269" ma:contentTypeVersion="19" ma:contentTypeDescription="Create a new document." ma:contentTypeScope="" ma:versionID="8aeeecd8db29b8a21398595a5005ac86">
  <xsd:schema xmlns:xsd="http://www.w3.org/2001/XMLSchema" xmlns:xs="http://www.w3.org/2001/XMLSchema" xmlns:p="http://schemas.microsoft.com/office/2006/metadata/properties" xmlns:ns2="b72834a5-a69b-4ec8-aeaf-25208b965166" xmlns:ns3="61aa534e-81a1-420d-8d5f-2e71f0c87463" targetNamespace="http://schemas.microsoft.com/office/2006/metadata/properties" ma:root="true" ma:fieldsID="37c4a8d5a0b02b730426dac29bb43a2e" ns2:_="" ns3:_="">
    <xsd:import namespace="b72834a5-a69b-4ec8-aeaf-25208b965166"/>
    <xsd:import namespace="61aa534e-81a1-420d-8d5f-2e71f0c8746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escription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2834a5-a69b-4ec8-aeaf-25208b9651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8099e0b-e00c-469a-8e3e-581119cc870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escriptionField" ma:index="26" nillable="true" ma:displayName="Description Field" ma:format="Dropdown" ma:internalName="DescriptionFiel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1aa534e-81a1-420d-8d5f-2e71f0c8746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08dbfd6-5873-4ccd-93ec-973dd76283db}" ma:internalName="TaxCatchAll" ma:showField="CatchAllData" ma:web="61aa534e-81a1-420d-8d5f-2e71f0c874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497F33-F030-4641-A326-FFD7F773B92A}">
  <ds:schemaRefs>
    <ds:schemaRef ds:uri="http://schemas.microsoft.com/office/2006/metadata/properties"/>
    <ds:schemaRef ds:uri="http://schemas.microsoft.com/office/infopath/2007/PartnerControls"/>
    <ds:schemaRef ds:uri="61aa534e-81a1-420d-8d5f-2e71f0c87463"/>
    <ds:schemaRef ds:uri="b72834a5-a69b-4ec8-aeaf-25208b965166"/>
  </ds:schemaRefs>
</ds:datastoreItem>
</file>

<file path=customXml/itemProps2.xml><?xml version="1.0" encoding="utf-8"?>
<ds:datastoreItem xmlns:ds="http://schemas.openxmlformats.org/officeDocument/2006/customXml" ds:itemID="{464E7AED-6627-4909-8107-87C4D18CBA01}">
  <ds:schemaRefs>
    <ds:schemaRef ds:uri="http://schemas.microsoft.com/sharepoint/v3/contenttype/forms"/>
  </ds:schemaRefs>
</ds:datastoreItem>
</file>

<file path=customXml/itemProps3.xml><?xml version="1.0" encoding="utf-8"?>
<ds:datastoreItem xmlns:ds="http://schemas.openxmlformats.org/officeDocument/2006/customXml" ds:itemID="{58A32306-8126-49DA-9DAE-496D48E0DA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2834a5-a69b-4ec8-aeaf-25208b965166"/>
    <ds:schemaRef ds:uri="61aa534e-81a1-420d-8d5f-2e71f0c874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E5FF4C-822D-48B6-A2A0-46CB84CD2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4</Pages>
  <Words>808</Words>
  <Characters>4490</Characters>
  <Application>Microsoft Office Word</Application>
  <DocSecurity>0</DocSecurity>
  <Lines>140</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JShaw</dc:creator>
  <cp:lastModifiedBy>Barnes, Matthew</cp:lastModifiedBy>
  <cp:revision>12</cp:revision>
  <cp:lastPrinted>2024-08-16T02:02:00Z</cp:lastPrinted>
  <dcterms:created xsi:type="dcterms:W3CDTF">2024-08-16T01:11:00Z</dcterms:created>
  <dcterms:modified xsi:type="dcterms:W3CDTF">2024-11-19T20:40:00Z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2023-12-14T00:00:00Z</vt:filetime>
  </property>
  <property fmtid="{D5CDD505-2E9C-101B-9397-08002B2CF9AE}" pid="3" name="Creator">
    <vt:lpwstr>Bluebeam Revu x64</vt:lpwstr>
  </property>
  <property fmtid="{D5CDD505-2E9C-101B-9397-08002B2CF9AE}" pid="4" name="LastSaved">
    <vt:filetime>2024-08-16T00:00:00Z</vt:filetime>
  </property>
  <property fmtid="{D5CDD505-2E9C-101B-9397-08002B2CF9AE}" pid="5" name="MSIP_Label_b530ee07-aa2b-47c7-bd4c-7cc545b5d455_Enabled">
    <vt:lpwstr>true</vt:lpwstr>
  </property>
  <property fmtid="{D5CDD505-2E9C-101B-9397-08002B2CF9AE}" pid="6" name="MSIP_Label_b530ee07-aa2b-47c7-bd4c-7cc545b5d455_SetDate">
    <vt:lpwstr>2024-08-16T02:04:17Z</vt:lpwstr>
  </property>
  <property fmtid="{D5CDD505-2E9C-101B-9397-08002B2CF9AE}" pid="7" name="MSIP_Label_b530ee07-aa2b-47c7-bd4c-7cc545b5d455_Method">
    <vt:lpwstr>Standard</vt:lpwstr>
  </property>
  <property fmtid="{D5CDD505-2E9C-101B-9397-08002B2CF9AE}" pid="8" name="MSIP_Label_b530ee07-aa2b-47c7-bd4c-7cc545b5d455_Name">
    <vt:lpwstr>HDR General Label</vt:lpwstr>
  </property>
  <property fmtid="{D5CDD505-2E9C-101B-9397-08002B2CF9AE}" pid="9" name="MSIP_Label_b530ee07-aa2b-47c7-bd4c-7cc545b5d455_SiteId">
    <vt:lpwstr>3667e201-cbdc-48b3-9b42-5d2d3f16e2a9</vt:lpwstr>
  </property>
  <property fmtid="{D5CDD505-2E9C-101B-9397-08002B2CF9AE}" pid="10" name="MSIP_Label_b530ee07-aa2b-47c7-bd4c-7cc545b5d455_ActionId">
    <vt:lpwstr>1c87b5ab-c17e-40b4-bf5f-5daf89d419eb</vt:lpwstr>
  </property>
  <property fmtid="{D5CDD505-2E9C-101B-9397-08002B2CF9AE}" pid="11" name="MSIP_Label_b530ee07-aa2b-47c7-bd4c-7cc545b5d455_ContentBits">
    <vt:lpwstr>0</vt:lpwstr>
  </property>
  <property fmtid="{D5CDD505-2E9C-101B-9397-08002B2CF9AE}" pid="12" name="ContentTypeId">
    <vt:lpwstr>0x010100423AED7797F9FF40846F8A8A34DBF269</vt:lpwstr>
  </property>
  <property fmtid="{D5CDD505-2E9C-101B-9397-08002B2CF9AE}" pid="13" name="Folder_Number">
    <vt:lpwstr/>
  </property>
  <property fmtid="{D5CDD505-2E9C-101B-9397-08002B2CF9AE}" pid="14" name="Folder_Code">
    <vt:lpwstr/>
  </property>
  <property fmtid="{D5CDD505-2E9C-101B-9397-08002B2CF9AE}" pid="15" name="Folder_Name">
    <vt:lpwstr/>
  </property>
  <property fmtid="{D5CDD505-2E9C-101B-9397-08002B2CF9AE}" pid="16" name="Folder_Description">
    <vt:lpwstr/>
  </property>
  <property fmtid="{D5CDD505-2E9C-101B-9397-08002B2CF9AE}" pid="17" name="/Folder_Name/">
    <vt:lpwstr/>
  </property>
  <property fmtid="{D5CDD505-2E9C-101B-9397-08002B2CF9AE}" pid="18" name="/Folder_Description/">
    <vt:lpwstr/>
  </property>
  <property fmtid="{D5CDD505-2E9C-101B-9397-08002B2CF9AE}" pid="19" name="Folder_Version">
    <vt:lpwstr/>
  </property>
  <property fmtid="{D5CDD505-2E9C-101B-9397-08002B2CF9AE}" pid="20" name="Folder_VersionSeq">
    <vt:lpwstr/>
  </property>
  <property fmtid="{D5CDD505-2E9C-101B-9397-08002B2CF9AE}" pid="21" name="Folder_Manager">
    <vt:lpwstr/>
  </property>
  <property fmtid="{D5CDD505-2E9C-101B-9397-08002B2CF9AE}" pid="22" name="Folder_ManagerDesc">
    <vt:lpwstr/>
  </property>
  <property fmtid="{D5CDD505-2E9C-101B-9397-08002B2CF9AE}" pid="23" name="Folder_Storage">
    <vt:lpwstr/>
  </property>
  <property fmtid="{D5CDD505-2E9C-101B-9397-08002B2CF9AE}" pid="24" name="Folder_StorageDesc">
    <vt:lpwstr/>
  </property>
  <property fmtid="{D5CDD505-2E9C-101B-9397-08002B2CF9AE}" pid="25" name="Folder_Creator">
    <vt:lpwstr/>
  </property>
  <property fmtid="{D5CDD505-2E9C-101B-9397-08002B2CF9AE}" pid="26" name="Folder_CreatorDesc">
    <vt:lpwstr/>
  </property>
  <property fmtid="{D5CDD505-2E9C-101B-9397-08002B2CF9AE}" pid="27" name="Folder_CreateDate">
    <vt:lpwstr/>
  </property>
  <property fmtid="{D5CDD505-2E9C-101B-9397-08002B2CF9AE}" pid="28" name="Folder_Updater">
    <vt:lpwstr/>
  </property>
  <property fmtid="{D5CDD505-2E9C-101B-9397-08002B2CF9AE}" pid="29" name="Folder_UpdaterDesc">
    <vt:lpwstr/>
  </property>
  <property fmtid="{D5CDD505-2E9C-101B-9397-08002B2CF9AE}" pid="30" name="Folder_UpdateDate">
    <vt:lpwstr/>
  </property>
  <property fmtid="{D5CDD505-2E9C-101B-9397-08002B2CF9AE}" pid="31" name="Document_Number">
    <vt:lpwstr/>
  </property>
  <property fmtid="{D5CDD505-2E9C-101B-9397-08002B2CF9AE}" pid="32" name="Document_Name">
    <vt:lpwstr/>
  </property>
  <property fmtid="{D5CDD505-2E9C-101B-9397-08002B2CF9AE}" pid="33" name="Document_FileName">
    <vt:lpwstr/>
  </property>
  <property fmtid="{D5CDD505-2E9C-101B-9397-08002B2CF9AE}" pid="34" name="Document_Version">
    <vt:lpwstr/>
  </property>
  <property fmtid="{D5CDD505-2E9C-101B-9397-08002B2CF9AE}" pid="35" name="Document_VersionSeq">
    <vt:lpwstr/>
  </property>
  <property fmtid="{D5CDD505-2E9C-101B-9397-08002B2CF9AE}" pid="36" name="Document_Creator">
    <vt:lpwstr/>
  </property>
  <property fmtid="{D5CDD505-2E9C-101B-9397-08002B2CF9AE}" pid="37" name="Document_CreatorDesc">
    <vt:lpwstr/>
  </property>
  <property fmtid="{D5CDD505-2E9C-101B-9397-08002B2CF9AE}" pid="38" name="Document_CreateDate">
    <vt:lpwstr/>
  </property>
  <property fmtid="{D5CDD505-2E9C-101B-9397-08002B2CF9AE}" pid="39" name="Document_Updater">
    <vt:lpwstr/>
  </property>
  <property fmtid="{D5CDD505-2E9C-101B-9397-08002B2CF9AE}" pid="40" name="Document_UpdaterDesc">
    <vt:lpwstr/>
  </property>
  <property fmtid="{D5CDD505-2E9C-101B-9397-08002B2CF9AE}" pid="41" name="Document_UpdateDate">
    <vt:lpwstr/>
  </property>
  <property fmtid="{D5CDD505-2E9C-101B-9397-08002B2CF9AE}" pid="42" name="Document_Size">
    <vt:lpwstr/>
  </property>
  <property fmtid="{D5CDD505-2E9C-101B-9397-08002B2CF9AE}" pid="43" name="Document_Storage">
    <vt:lpwstr/>
  </property>
  <property fmtid="{D5CDD505-2E9C-101B-9397-08002B2CF9AE}" pid="44" name="Document_StorageDesc">
    <vt:lpwstr/>
  </property>
  <property fmtid="{D5CDD505-2E9C-101B-9397-08002B2CF9AE}" pid="45" name="Document_Department">
    <vt:lpwstr/>
  </property>
  <property fmtid="{D5CDD505-2E9C-101B-9397-08002B2CF9AE}" pid="46" name="Document_DepartmentDesc">
    <vt:lpwstr/>
  </property>
  <property fmtid="{D5CDD505-2E9C-101B-9397-08002B2CF9AE}" pid="47" name="MediaServiceImageTags">
    <vt:lpwstr/>
  </property>
</Properties>
</file>